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88F8" w14:textId="77777777" w:rsidR="005642D8" w:rsidRDefault="00000000">
      <w:pPr>
        <w:spacing w:before="100" w:after="200"/>
        <w:jc w:val="center"/>
      </w:pPr>
      <w:r>
        <w:rPr>
          <w:sz w:val="35"/>
          <w:szCs w:val="35"/>
        </w:rPr>
        <w:t>VABA Weekly Legislative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9"/>
        <w:gridCol w:w="1251"/>
        <w:gridCol w:w="11924"/>
        <w:gridCol w:w="1194"/>
      </w:tblGrid>
      <w:tr w:rsidR="005642D8" w:rsidRPr="00334D02" w14:paraId="41117CD3" w14:textId="77777777">
        <w:tblPrEx>
          <w:tblCellMar>
            <w:top w:w="0" w:type="dxa"/>
            <w:bottom w:w="0" w:type="dxa"/>
          </w:tblCellMar>
        </w:tblPrEx>
        <w:tc>
          <w:tcPr>
            <w:tcW w:w="0" w:type="auto"/>
            <w:tcMar>
              <w:top w:w="50" w:type="dxa"/>
              <w:left w:w="50" w:type="dxa"/>
              <w:bottom w:w="50" w:type="dxa"/>
              <w:right w:w="50" w:type="dxa"/>
            </w:tcMar>
          </w:tcPr>
          <w:p w14:paraId="414A74A0" w14:textId="77777777" w:rsidR="005642D8" w:rsidRPr="00334D02" w:rsidRDefault="00000000">
            <w:r w:rsidRPr="00334D02">
              <w:rPr>
                <w:b/>
                <w:bCs/>
              </w:rPr>
              <w:t>Bill</w:t>
            </w:r>
          </w:p>
        </w:tc>
        <w:tc>
          <w:tcPr>
            <w:tcW w:w="0" w:type="auto"/>
            <w:tcMar>
              <w:top w:w="50" w:type="dxa"/>
              <w:left w:w="50" w:type="dxa"/>
              <w:bottom w:w="50" w:type="dxa"/>
              <w:right w:w="50" w:type="dxa"/>
            </w:tcMar>
          </w:tcPr>
          <w:p w14:paraId="6068F291" w14:textId="77777777" w:rsidR="005642D8" w:rsidRPr="00334D02" w:rsidRDefault="00000000">
            <w:r w:rsidRPr="00334D02">
              <w:rPr>
                <w:b/>
                <w:bCs/>
              </w:rPr>
              <w:t>Sponsors</w:t>
            </w:r>
          </w:p>
        </w:tc>
        <w:tc>
          <w:tcPr>
            <w:tcW w:w="0" w:type="auto"/>
            <w:tcMar>
              <w:top w:w="50" w:type="dxa"/>
              <w:left w:w="50" w:type="dxa"/>
              <w:bottom w:w="50" w:type="dxa"/>
              <w:right w:w="50" w:type="dxa"/>
            </w:tcMar>
          </w:tcPr>
          <w:p w14:paraId="352E99B7" w14:textId="77777777" w:rsidR="005642D8" w:rsidRPr="00334D02" w:rsidRDefault="00000000">
            <w:r w:rsidRPr="00334D02">
              <w:rPr>
                <w:b/>
                <w:bCs/>
              </w:rPr>
              <w:t>Title</w:t>
            </w:r>
          </w:p>
        </w:tc>
        <w:tc>
          <w:tcPr>
            <w:tcW w:w="0" w:type="auto"/>
            <w:tcMar>
              <w:top w:w="50" w:type="dxa"/>
              <w:left w:w="50" w:type="dxa"/>
              <w:bottom w:w="50" w:type="dxa"/>
              <w:right w:w="50" w:type="dxa"/>
            </w:tcMar>
          </w:tcPr>
          <w:p w14:paraId="57CBD0AE" w14:textId="77777777" w:rsidR="005642D8" w:rsidRPr="00334D02" w:rsidRDefault="00000000">
            <w:r w:rsidRPr="00334D02">
              <w:rPr>
                <w:b/>
                <w:bCs/>
              </w:rPr>
              <w:t>Latest Version</w:t>
            </w:r>
          </w:p>
        </w:tc>
      </w:tr>
      <w:tr w:rsidR="005642D8" w:rsidRPr="00334D02" w14:paraId="50476BB4" w14:textId="77777777">
        <w:tblPrEx>
          <w:tblCellMar>
            <w:top w:w="0" w:type="dxa"/>
            <w:bottom w:w="0" w:type="dxa"/>
          </w:tblCellMar>
        </w:tblPrEx>
        <w:tc>
          <w:tcPr>
            <w:tcW w:w="0" w:type="auto"/>
            <w:tcMar>
              <w:top w:w="50" w:type="dxa"/>
              <w:left w:w="50" w:type="dxa"/>
              <w:bottom w:w="50" w:type="dxa"/>
              <w:right w:w="50" w:type="dxa"/>
            </w:tcMar>
          </w:tcPr>
          <w:p w14:paraId="56EE8DC8" w14:textId="77777777" w:rsidR="005642D8" w:rsidRPr="00334D02" w:rsidRDefault="00000000">
            <w:r w:rsidRPr="00334D02">
              <w:t xml:space="preserve">VA 2026   </w:t>
            </w:r>
          </w:p>
          <w:p w14:paraId="18C21769" w14:textId="77777777" w:rsidR="005642D8" w:rsidRPr="00334D02" w:rsidRDefault="00000000">
            <w:hyperlink r:id="rId7" w:history="1">
              <w:r w:rsidRPr="00334D02">
                <w:rPr>
                  <w:rStyle w:val="Hyperlink"/>
                </w:rPr>
                <w:t>HB 740</w:t>
              </w:r>
            </w:hyperlink>
          </w:p>
        </w:tc>
        <w:tc>
          <w:tcPr>
            <w:tcW w:w="0" w:type="auto"/>
            <w:tcMar>
              <w:top w:w="50" w:type="dxa"/>
              <w:left w:w="50" w:type="dxa"/>
              <w:bottom w:w="50" w:type="dxa"/>
              <w:right w:w="50" w:type="dxa"/>
            </w:tcMar>
          </w:tcPr>
          <w:p w14:paraId="6908E43E" w14:textId="77777777" w:rsidR="005642D8" w:rsidRPr="00334D02" w:rsidRDefault="00000000">
            <w:hyperlink r:id="rId8" w:history="1">
              <w:r w:rsidRPr="00334D02">
                <w:rPr>
                  <w:rStyle w:val="Hyperlink"/>
                </w:rPr>
                <w:t>Wren M. Williams</w:t>
              </w:r>
            </w:hyperlink>
          </w:p>
        </w:tc>
        <w:tc>
          <w:tcPr>
            <w:tcW w:w="0" w:type="auto"/>
            <w:tcMar>
              <w:top w:w="50" w:type="dxa"/>
              <w:left w:w="50" w:type="dxa"/>
              <w:bottom w:w="50" w:type="dxa"/>
              <w:right w:w="50" w:type="dxa"/>
            </w:tcMar>
          </w:tcPr>
          <w:p w14:paraId="15291B35" w14:textId="77777777" w:rsidR="005642D8" w:rsidRPr="00334D02" w:rsidRDefault="00000000">
            <w:r w:rsidRPr="00334D02">
              <w:t>Board of Health; regulations; utilization of helicopter instrument approach by hospital or air medical service vendor.</w:t>
            </w:r>
          </w:p>
          <w:p w14:paraId="65057D52" w14:textId="77777777" w:rsidR="005642D8" w:rsidRPr="00334D02" w:rsidRDefault="00000000">
            <w:pPr>
              <w:spacing w:before="100" w:after="100"/>
            </w:pPr>
            <w:r w:rsidRPr="00334D02">
              <w:rPr>
                <w:color w:val="667093"/>
              </w:rPr>
              <w:t xml:space="preserve">Board of Health; regulations; utilization of helicopter instrument approach by hospital or air medical service vendor. Directs the Board of Health to </w:t>
            </w:r>
            <w:proofErr w:type="gramStart"/>
            <w:r w:rsidRPr="00334D02">
              <w:rPr>
                <w:color w:val="667093"/>
              </w:rPr>
              <w:t>prescribe by</w:t>
            </w:r>
            <w:proofErr w:type="gramEnd"/>
            <w:r w:rsidRPr="00334D02">
              <w:rPr>
                <w:color w:val="667093"/>
              </w:rPr>
              <w:t xml:space="preserve"> regulation requirements directing any hospital or air medical service vendor utilizing a helicopter instrument approach procedure to a hospital helipad approved by the Federal Aviation Administration to provide such procedure to any licensed air medical service operator requesting it for the purpose of patient transport. The bill directs that such requirements shall include standardized procedures for requesting, receiving, and using such instrument approach data and enforcement mechanisms for noncompliance by a hospital or air medical service </w:t>
            </w:r>
            <w:proofErr w:type="spellStart"/>
            <w:proofErr w:type="gramStart"/>
            <w:r w:rsidRPr="00334D02">
              <w:rPr>
                <w:color w:val="667093"/>
              </w:rPr>
              <w:t>vendor.Statutes</w:t>
            </w:r>
            <w:proofErr w:type="spellEnd"/>
            <w:proofErr w:type="gramEnd"/>
            <w:r w:rsidRPr="00334D02">
              <w:rPr>
                <w:color w:val="667093"/>
              </w:rPr>
              <w:t xml:space="preserve"> affected:   Introduced: 32.1-111.4</w:t>
            </w:r>
          </w:p>
        </w:tc>
        <w:tc>
          <w:tcPr>
            <w:tcW w:w="0" w:type="auto"/>
            <w:tcMar>
              <w:top w:w="50" w:type="dxa"/>
              <w:left w:w="50" w:type="dxa"/>
              <w:bottom w:w="50" w:type="dxa"/>
              <w:right w:w="50" w:type="dxa"/>
            </w:tcMar>
          </w:tcPr>
          <w:p w14:paraId="1EA58E0E" w14:textId="77777777" w:rsidR="005642D8" w:rsidRPr="00334D02" w:rsidRDefault="00000000">
            <w:hyperlink r:id="rId9" w:history="1">
              <w:r w:rsidRPr="00334D02">
                <w:rPr>
                  <w:rStyle w:val="Hyperlink"/>
                </w:rPr>
                <w:t>Introduced</w:t>
              </w:r>
            </w:hyperlink>
          </w:p>
        </w:tc>
      </w:tr>
      <w:tr w:rsidR="005642D8" w:rsidRPr="00334D02" w14:paraId="1B46BC3F" w14:textId="77777777">
        <w:tblPrEx>
          <w:tblCellMar>
            <w:top w:w="0" w:type="dxa"/>
            <w:bottom w:w="0" w:type="dxa"/>
          </w:tblCellMar>
        </w:tblPrEx>
        <w:tc>
          <w:tcPr>
            <w:tcW w:w="0" w:type="auto"/>
            <w:tcMar>
              <w:top w:w="50" w:type="dxa"/>
              <w:left w:w="50" w:type="dxa"/>
              <w:bottom w:w="50" w:type="dxa"/>
              <w:right w:w="50" w:type="dxa"/>
            </w:tcMar>
          </w:tcPr>
          <w:p w14:paraId="5EFBB034" w14:textId="77777777" w:rsidR="005642D8" w:rsidRPr="00334D02" w:rsidRDefault="00000000">
            <w:r w:rsidRPr="00334D02">
              <w:t xml:space="preserve">VA 2026   </w:t>
            </w:r>
          </w:p>
          <w:p w14:paraId="78A3B698" w14:textId="77777777" w:rsidR="005642D8" w:rsidRPr="00334D02" w:rsidRDefault="00000000">
            <w:hyperlink r:id="rId10" w:history="1">
              <w:r w:rsidRPr="00334D02">
                <w:rPr>
                  <w:rStyle w:val="Hyperlink"/>
                </w:rPr>
                <w:t>HB 950</w:t>
              </w:r>
            </w:hyperlink>
          </w:p>
        </w:tc>
        <w:tc>
          <w:tcPr>
            <w:tcW w:w="0" w:type="auto"/>
            <w:tcMar>
              <w:top w:w="50" w:type="dxa"/>
              <w:left w:w="50" w:type="dxa"/>
              <w:bottom w:w="50" w:type="dxa"/>
              <w:right w:w="50" w:type="dxa"/>
            </w:tcMar>
          </w:tcPr>
          <w:p w14:paraId="3BA0E127" w14:textId="77777777" w:rsidR="005642D8" w:rsidRPr="00334D02" w:rsidRDefault="00000000">
            <w:hyperlink r:id="rId11" w:history="1">
              <w:r w:rsidRPr="00334D02">
                <w:rPr>
                  <w:rStyle w:val="Hyperlink"/>
                </w:rPr>
                <w:t>Alfonso H. Lopez</w:t>
              </w:r>
            </w:hyperlink>
          </w:p>
        </w:tc>
        <w:tc>
          <w:tcPr>
            <w:tcW w:w="0" w:type="auto"/>
            <w:tcMar>
              <w:top w:w="50" w:type="dxa"/>
              <w:left w:w="50" w:type="dxa"/>
              <w:bottom w:w="50" w:type="dxa"/>
              <w:right w:w="50" w:type="dxa"/>
            </w:tcMar>
          </w:tcPr>
          <w:p w14:paraId="25EA596E" w14:textId="77777777" w:rsidR="005642D8" w:rsidRPr="00334D02" w:rsidRDefault="00000000">
            <w:r w:rsidRPr="00334D02">
              <w:t>Use of unmanned aircraft systems by public bodies; search warrant required; exceptions.</w:t>
            </w:r>
          </w:p>
          <w:p w14:paraId="2A7596A5" w14:textId="77777777" w:rsidR="005642D8" w:rsidRPr="00334D02" w:rsidRDefault="00000000">
            <w:pPr>
              <w:spacing w:before="100" w:after="100"/>
            </w:pPr>
            <w:r w:rsidRPr="00334D02">
              <w:rPr>
                <w:color w:val="667093"/>
              </w:rPr>
              <w:t xml:space="preserve">Use of unmanned aircraft systems by public bodies; search warrant required; exceptions. Adds the Department of Environmental Quality to the list of exceptions to the warrant requirement for the use of an unmanned aircraft system by public bodies for the implementation and enforcement of the Virginia Water Resources and Wetlands Protection Program, the Virginia Erosion and Stormwater Management Act, and erosion and sediment control in localities without a Virginia Erosion and Stormwater Management </w:t>
            </w:r>
            <w:proofErr w:type="spellStart"/>
            <w:r w:rsidRPr="00334D02">
              <w:rPr>
                <w:color w:val="667093"/>
              </w:rPr>
              <w:t>Program.Statutes</w:t>
            </w:r>
            <w:proofErr w:type="spellEnd"/>
            <w:r w:rsidRPr="00334D02">
              <w:rPr>
                <w:color w:val="667093"/>
              </w:rPr>
              <w:t xml:space="preserve"> affected:   Introduced: 19.2-60.1</w:t>
            </w:r>
          </w:p>
        </w:tc>
        <w:tc>
          <w:tcPr>
            <w:tcW w:w="0" w:type="auto"/>
            <w:tcMar>
              <w:top w:w="50" w:type="dxa"/>
              <w:left w:w="50" w:type="dxa"/>
              <w:bottom w:w="50" w:type="dxa"/>
              <w:right w:w="50" w:type="dxa"/>
            </w:tcMar>
          </w:tcPr>
          <w:p w14:paraId="7C210EEE" w14:textId="77777777" w:rsidR="005642D8" w:rsidRPr="00334D02" w:rsidRDefault="00000000">
            <w:hyperlink r:id="rId12" w:history="1">
              <w:r w:rsidRPr="00334D02">
                <w:rPr>
                  <w:rStyle w:val="Hyperlink"/>
                </w:rPr>
                <w:t>Introduced</w:t>
              </w:r>
            </w:hyperlink>
          </w:p>
        </w:tc>
      </w:tr>
      <w:tr w:rsidR="005642D8" w:rsidRPr="00334D02" w14:paraId="2E9596E4" w14:textId="77777777">
        <w:tblPrEx>
          <w:tblCellMar>
            <w:top w:w="0" w:type="dxa"/>
            <w:bottom w:w="0" w:type="dxa"/>
          </w:tblCellMar>
        </w:tblPrEx>
        <w:tc>
          <w:tcPr>
            <w:tcW w:w="0" w:type="auto"/>
            <w:tcMar>
              <w:top w:w="50" w:type="dxa"/>
              <w:left w:w="50" w:type="dxa"/>
              <w:bottom w:w="50" w:type="dxa"/>
              <w:right w:w="50" w:type="dxa"/>
            </w:tcMar>
          </w:tcPr>
          <w:p w14:paraId="03B07310" w14:textId="77777777" w:rsidR="005642D8" w:rsidRPr="00334D02" w:rsidRDefault="00000000">
            <w:r w:rsidRPr="00334D02">
              <w:t xml:space="preserve">VA 2026   </w:t>
            </w:r>
          </w:p>
          <w:p w14:paraId="233AECCE" w14:textId="77777777" w:rsidR="005642D8" w:rsidRPr="00334D02" w:rsidRDefault="00000000">
            <w:hyperlink r:id="rId13" w:history="1">
              <w:r w:rsidRPr="00334D02">
                <w:rPr>
                  <w:rStyle w:val="Hyperlink"/>
                </w:rPr>
                <w:t>HB 1219</w:t>
              </w:r>
            </w:hyperlink>
          </w:p>
        </w:tc>
        <w:tc>
          <w:tcPr>
            <w:tcW w:w="0" w:type="auto"/>
            <w:tcMar>
              <w:top w:w="50" w:type="dxa"/>
              <w:left w:w="50" w:type="dxa"/>
              <w:bottom w:w="50" w:type="dxa"/>
              <w:right w:w="50" w:type="dxa"/>
            </w:tcMar>
          </w:tcPr>
          <w:p w14:paraId="269B52F6" w14:textId="77777777" w:rsidR="005642D8" w:rsidRPr="00334D02" w:rsidRDefault="00000000">
            <w:hyperlink r:id="rId14" w:history="1">
              <w:r w:rsidRPr="00334D02">
                <w:rPr>
                  <w:rStyle w:val="Hyperlink"/>
                </w:rPr>
                <w:t>Briana D. Sewell</w:t>
              </w:r>
            </w:hyperlink>
          </w:p>
        </w:tc>
        <w:tc>
          <w:tcPr>
            <w:tcW w:w="0" w:type="auto"/>
            <w:tcMar>
              <w:top w:w="50" w:type="dxa"/>
              <w:left w:w="50" w:type="dxa"/>
              <w:bottom w:w="50" w:type="dxa"/>
              <w:right w:w="50" w:type="dxa"/>
            </w:tcMar>
          </w:tcPr>
          <w:p w14:paraId="2FCA5CB8" w14:textId="77777777" w:rsidR="005642D8" w:rsidRPr="00334D02" w:rsidRDefault="00000000">
            <w:r w:rsidRPr="00334D02">
              <w:t>Use of unmanned aircraft systems by law-enforcement officers; search warrants.</w:t>
            </w:r>
          </w:p>
          <w:p w14:paraId="0153BEE9" w14:textId="77777777" w:rsidR="005642D8" w:rsidRPr="00334D02" w:rsidRDefault="00000000">
            <w:pPr>
              <w:spacing w:before="100" w:after="100"/>
            </w:pPr>
            <w:r w:rsidRPr="00334D02">
              <w:rPr>
                <w:color w:val="667093"/>
              </w:rPr>
              <w:t xml:space="preserve">Use of unmanned aircraft systems by law-enforcement officers; search warrants. Expedites the issuance of a search warrant for unmanned aircraft systems by law-enforcement officers upon a finding of reasonable and probable cause by an authorized judicial official as defined in the bill. The bill permits the use of unmanned aircraft systems without a search warrant when law enforcement is surveying the scene of a crime or to respond to a public safety call for service, to locate a person when such person has fled the offense location during the initial response to an incident, or to provide real-time aerial observation to increase on-scene safety and security, deliver essential supplies, and provide enhanced communication for emergency personnel in response to emergency calls. The bill also authorizes the use of unmanned aircraft systems by law enforcement during large gatherings, demonstrations, disturbances, or other such events in the public domain to aid in maintaining the safety and security of event attendees and members of the </w:t>
            </w:r>
            <w:proofErr w:type="spellStart"/>
            <w:proofErr w:type="gramStart"/>
            <w:r w:rsidRPr="00334D02">
              <w:rPr>
                <w:color w:val="667093"/>
              </w:rPr>
              <w:t>public.Statutes</w:t>
            </w:r>
            <w:proofErr w:type="spellEnd"/>
            <w:proofErr w:type="gramEnd"/>
            <w:r w:rsidRPr="00334D02">
              <w:rPr>
                <w:color w:val="667093"/>
              </w:rPr>
              <w:t xml:space="preserve"> affected:   Introduced: 19.2-60.1</w:t>
            </w:r>
          </w:p>
        </w:tc>
        <w:tc>
          <w:tcPr>
            <w:tcW w:w="0" w:type="auto"/>
            <w:tcMar>
              <w:top w:w="50" w:type="dxa"/>
              <w:left w:w="50" w:type="dxa"/>
              <w:bottom w:w="50" w:type="dxa"/>
              <w:right w:w="50" w:type="dxa"/>
            </w:tcMar>
          </w:tcPr>
          <w:p w14:paraId="04CFAFBD" w14:textId="77777777" w:rsidR="005642D8" w:rsidRPr="00334D02" w:rsidRDefault="00000000">
            <w:hyperlink r:id="rId15" w:history="1">
              <w:r w:rsidRPr="00334D02">
                <w:rPr>
                  <w:rStyle w:val="Hyperlink"/>
                </w:rPr>
                <w:t>Introduced</w:t>
              </w:r>
            </w:hyperlink>
          </w:p>
        </w:tc>
      </w:tr>
      <w:tr w:rsidR="005642D8" w:rsidRPr="00334D02" w14:paraId="621E716C" w14:textId="77777777">
        <w:tblPrEx>
          <w:tblCellMar>
            <w:top w:w="0" w:type="dxa"/>
            <w:bottom w:w="0" w:type="dxa"/>
          </w:tblCellMar>
        </w:tblPrEx>
        <w:tc>
          <w:tcPr>
            <w:tcW w:w="0" w:type="auto"/>
            <w:tcMar>
              <w:top w:w="50" w:type="dxa"/>
              <w:left w:w="50" w:type="dxa"/>
              <w:bottom w:w="50" w:type="dxa"/>
              <w:right w:w="50" w:type="dxa"/>
            </w:tcMar>
          </w:tcPr>
          <w:p w14:paraId="3BCA74C4" w14:textId="77777777" w:rsidR="005642D8" w:rsidRPr="00334D02" w:rsidRDefault="00000000">
            <w:r w:rsidRPr="00334D02">
              <w:t xml:space="preserve">VA 2026   </w:t>
            </w:r>
          </w:p>
          <w:p w14:paraId="60EE45C6" w14:textId="77777777" w:rsidR="005642D8" w:rsidRPr="00334D02" w:rsidRDefault="00000000">
            <w:hyperlink r:id="rId16" w:history="1">
              <w:r w:rsidRPr="00334D02">
                <w:rPr>
                  <w:rStyle w:val="Hyperlink"/>
                </w:rPr>
                <w:t>HB 1230</w:t>
              </w:r>
            </w:hyperlink>
          </w:p>
        </w:tc>
        <w:tc>
          <w:tcPr>
            <w:tcW w:w="0" w:type="auto"/>
            <w:tcMar>
              <w:top w:w="50" w:type="dxa"/>
              <w:left w:w="50" w:type="dxa"/>
              <w:bottom w:w="50" w:type="dxa"/>
              <w:right w:w="50" w:type="dxa"/>
            </w:tcMar>
          </w:tcPr>
          <w:p w14:paraId="2FF7B8DD" w14:textId="77777777" w:rsidR="005642D8" w:rsidRPr="00334D02" w:rsidRDefault="00000000">
            <w:hyperlink r:id="rId17" w:history="1">
              <w:r w:rsidRPr="00334D02">
                <w:rPr>
                  <w:rStyle w:val="Hyperlink"/>
                </w:rPr>
                <w:t>Briana D. Sewell</w:t>
              </w:r>
            </w:hyperlink>
          </w:p>
        </w:tc>
        <w:tc>
          <w:tcPr>
            <w:tcW w:w="0" w:type="auto"/>
            <w:tcMar>
              <w:top w:w="50" w:type="dxa"/>
              <w:left w:w="50" w:type="dxa"/>
              <w:bottom w:w="50" w:type="dxa"/>
              <w:right w:w="50" w:type="dxa"/>
            </w:tcMar>
          </w:tcPr>
          <w:p w14:paraId="4D7BBA65" w14:textId="77777777" w:rsidR="005642D8" w:rsidRPr="00334D02" w:rsidRDefault="00000000">
            <w:r w:rsidRPr="00334D02">
              <w:t>Income tax; sustainable aviation fuel production tax credit.</w:t>
            </w:r>
          </w:p>
          <w:p w14:paraId="1EAA92CE" w14:textId="77777777" w:rsidR="005642D8" w:rsidRPr="00334D02" w:rsidRDefault="00000000">
            <w:pPr>
              <w:spacing w:before="100" w:after="100"/>
            </w:pPr>
            <w:r w:rsidRPr="00334D02">
              <w:rPr>
                <w:color w:val="667093"/>
              </w:rPr>
              <w:t>Income tax; sustainable aviation fuel production tax credit. Provides, for taxable years 2026 through 2030, a nonrefundable tax credit against individual and corporate income taxes for eligible producers of sustainable aviation fuel, as such terms are defined in the bill. The amount of the credit is the lesser of (</w:t>
            </w:r>
            <w:proofErr w:type="spellStart"/>
            <w:r w:rsidRPr="00334D02">
              <w:rPr>
                <w:color w:val="667093"/>
              </w:rPr>
              <w:t>i</w:t>
            </w:r>
            <w:proofErr w:type="spellEnd"/>
            <w:r w:rsidRPr="00334D02">
              <w:rPr>
                <w:color w:val="667093"/>
              </w:rPr>
              <w:t xml:space="preserve">) $0.75 per gallon of sustainable aviation fuel produced in the taxable year or (ii) $5 million. The aggregate </w:t>
            </w:r>
            <w:proofErr w:type="gramStart"/>
            <w:r w:rsidRPr="00334D02">
              <w:rPr>
                <w:color w:val="667093"/>
              </w:rPr>
              <w:t>amount</w:t>
            </w:r>
            <w:proofErr w:type="gramEnd"/>
            <w:r w:rsidRPr="00334D02">
              <w:rPr>
                <w:color w:val="667093"/>
              </w:rPr>
              <w:t xml:space="preserve"> of credits </w:t>
            </w:r>
            <w:proofErr w:type="gramStart"/>
            <w:r w:rsidRPr="00334D02">
              <w:rPr>
                <w:color w:val="667093"/>
              </w:rPr>
              <w:t>allowable</w:t>
            </w:r>
            <w:proofErr w:type="gramEnd"/>
            <w:r w:rsidRPr="00334D02">
              <w:rPr>
                <w:color w:val="667093"/>
              </w:rPr>
              <w:t xml:space="preserve"> under this bill shall not exceed $20 million per taxable year.</w:t>
            </w:r>
          </w:p>
        </w:tc>
        <w:tc>
          <w:tcPr>
            <w:tcW w:w="0" w:type="auto"/>
            <w:tcMar>
              <w:top w:w="50" w:type="dxa"/>
              <w:left w:w="50" w:type="dxa"/>
              <w:bottom w:w="50" w:type="dxa"/>
              <w:right w:w="50" w:type="dxa"/>
            </w:tcMar>
          </w:tcPr>
          <w:p w14:paraId="10CEA1B6" w14:textId="77777777" w:rsidR="005642D8" w:rsidRPr="00334D02" w:rsidRDefault="00000000">
            <w:hyperlink r:id="rId18" w:history="1">
              <w:r w:rsidRPr="00334D02">
                <w:rPr>
                  <w:rStyle w:val="Hyperlink"/>
                </w:rPr>
                <w:t>Introduced</w:t>
              </w:r>
            </w:hyperlink>
          </w:p>
        </w:tc>
      </w:tr>
      <w:tr w:rsidR="005642D8" w:rsidRPr="00334D02" w14:paraId="35CF342E" w14:textId="77777777">
        <w:tblPrEx>
          <w:tblCellMar>
            <w:top w:w="0" w:type="dxa"/>
            <w:bottom w:w="0" w:type="dxa"/>
          </w:tblCellMar>
        </w:tblPrEx>
        <w:tc>
          <w:tcPr>
            <w:tcW w:w="0" w:type="auto"/>
            <w:tcMar>
              <w:top w:w="50" w:type="dxa"/>
              <w:left w:w="50" w:type="dxa"/>
              <w:bottom w:w="50" w:type="dxa"/>
              <w:right w:w="50" w:type="dxa"/>
            </w:tcMar>
          </w:tcPr>
          <w:p w14:paraId="44F21FD0" w14:textId="77777777" w:rsidR="005642D8" w:rsidRPr="00334D02" w:rsidRDefault="00000000">
            <w:r w:rsidRPr="00334D02">
              <w:t xml:space="preserve">VA 2026   </w:t>
            </w:r>
          </w:p>
          <w:p w14:paraId="17BB57C4" w14:textId="77777777" w:rsidR="005642D8" w:rsidRPr="00334D02" w:rsidRDefault="00000000">
            <w:hyperlink r:id="rId19" w:history="1">
              <w:r w:rsidRPr="00334D02">
                <w:rPr>
                  <w:rStyle w:val="Hyperlink"/>
                </w:rPr>
                <w:t>HB 1231</w:t>
              </w:r>
            </w:hyperlink>
          </w:p>
        </w:tc>
        <w:tc>
          <w:tcPr>
            <w:tcW w:w="0" w:type="auto"/>
            <w:tcMar>
              <w:top w:w="50" w:type="dxa"/>
              <w:left w:w="50" w:type="dxa"/>
              <w:bottom w:w="50" w:type="dxa"/>
              <w:right w:w="50" w:type="dxa"/>
            </w:tcMar>
          </w:tcPr>
          <w:p w14:paraId="0922AE95" w14:textId="77777777" w:rsidR="005642D8" w:rsidRPr="00334D02" w:rsidRDefault="00000000">
            <w:hyperlink r:id="rId20" w:history="1">
              <w:r w:rsidRPr="00334D02">
                <w:rPr>
                  <w:rStyle w:val="Hyperlink"/>
                </w:rPr>
                <w:t>Karrie K. Delaney</w:t>
              </w:r>
            </w:hyperlink>
          </w:p>
        </w:tc>
        <w:tc>
          <w:tcPr>
            <w:tcW w:w="0" w:type="auto"/>
            <w:tcMar>
              <w:top w:w="50" w:type="dxa"/>
              <w:left w:w="50" w:type="dxa"/>
              <w:bottom w:w="50" w:type="dxa"/>
              <w:right w:w="50" w:type="dxa"/>
            </w:tcMar>
          </w:tcPr>
          <w:p w14:paraId="12903C55" w14:textId="77777777" w:rsidR="005642D8" w:rsidRPr="00334D02" w:rsidRDefault="00000000">
            <w:r w:rsidRPr="00334D02">
              <w:t>Commonwealth Aviation Fund; changes allocation amounts.</w:t>
            </w:r>
          </w:p>
          <w:p w14:paraId="4267572E" w14:textId="77777777" w:rsidR="005642D8" w:rsidRPr="00334D02" w:rsidRDefault="00000000">
            <w:pPr>
              <w:spacing w:before="100" w:after="100"/>
            </w:pPr>
            <w:r w:rsidRPr="00334D02">
              <w:rPr>
                <w:color w:val="667093"/>
              </w:rPr>
              <w:t>Commonwealth Aviation Fund; allocations. Changes (</w:t>
            </w:r>
            <w:proofErr w:type="spellStart"/>
            <w:r w:rsidRPr="00334D02">
              <w:rPr>
                <w:color w:val="667093"/>
              </w:rPr>
              <w:t>i</w:t>
            </w:r>
            <w:proofErr w:type="spellEnd"/>
            <w:r w:rsidRPr="00334D02">
              <w:rPr>
                <w:color w:val="667093"/>
              </w:rPr>
              <w:t xml:space="preserve">) the allocation amounts from the Commonwealth Aviation Fund, (ii) the entity to which certain funds from such Fund are allocated from air carrier airports to commercial service airport sponsors, and (iii) the </w:t>
            </w:r>
            <w:r w:rsidRPr="00334D02">
              <w:rPr>
                <w:color w:val="667093"/>
              </w:rPr>
              <w:lastRenderedPageBreak/>
              <w:t>classification of airports from air carrier airport and reliever airport to commercial service airport and regional business airport, respectively.</w:t>
            </w:r>
          </w:p>
        </w:tc>
        <w:tc>
          <w:tcPr>
            <w:tcW w:w="0" w:type="auto"/>
            <w:tcMar>
              <w:top w:w="50" w:type="dxa"/>
              <w:left w:w="50" w:type="dxa"/>
              <w:bottom w:w="50" w:type="dxa"/>
              <w:right w:w="50" w:type="dxa"/>
            </w:tcMar>
          </w:tcPr>
          <w:p w14:paraId="1188526F" w14:textId="77777777" w:rsidR="005642D8" w:rsidRPr="00334D02" w:rsidRDefault="00000000">
            <w:hyperlink r:id="rId21" w:history="1">
              <w:r w:rsidRPr="00334D02">
                <w:rPr>
                  <w:rStyle w:val="Hyperlink"/>
                </w:rPr>
                <w:t>Introduced</w:t>
              </w:r>
            </w:hyperlink>
          </w:p>
        </w:tc>
      </w:tr>
      <w:tr w:rsidR="005642D8" w:rsidRPr="00334D02" w14:paraId="2AE5C74F" w14:textId="77777777">
        <w:tblPrEx>
          <w:tblCellMar>
            <w:top w:w="0" w:type="dxa"/>
            <w:bottom w:w="0" w:type="dxa"/>
          </w:tblCellMar>
        </w:tblPrEx>
        <w:tc>
          <w:tcPr>
            <w:tcW w:w="0" w:type="auto"/>
            <w:tcMar>
              <w:top w:w="50" w:type="dxa"/>
              <w:left w:w="50" w:type="dxa"/>
              <w:bottom w:w="50" w:type="dxa"/>
              <w:right w:w="50" w:type="dxa"/>
            </w:tcMar>
          </w:tcPr>
          <w:p w14:paraId="6911A9F7" w14:textId="77777777" w:rsidR="005642D8" w:rsidRPr="00334D02" w:rsidRDefault="00000000">
            <w:r w:rsidRPr="00334D02">
              <w:t xml:space="preserve">VA 2026   </w:t>
            </w:r>
          </w:p>
          <w:p w14:paraId="65B26017" w14:textId="77777777" w:rsidR="005642D8" w:rsidRPr="00334D02" w:rsidRDefault="00000000">
            <w:hyperlink r:id="rId22" w:history="1">
              <w:r w:rsidRPr="00334D02">
                <w:rPr>
                  <w:rStyle w:val="Hyperlink"/>
                </w:rPr>
                <w:t>SB 293</w:t>
              </w:r>
            </w:hyperlink>
          </w:p>
        </w:tc>
        <w:tc>
          <w:tcPr>
            <w:tcW w:w="0" w:type="auto"/>
            <w:tcMar>
              <w:top w:w="50" w:type="dxa"/>
              <w:left w:w="50" w:type="dxa"/>
              <w:bottom w:w="50" w:type="dxa"/>
              <w:right w:w="50" w:type="dxa"/>
            </w:tcMar>
          </w:tcPr>
          <w:p w14:paraId="071D39C3" w14:textId="77777777" w:rsidR="005642D8" w:rsidRPr="00334D02" w:rsidRDefault="00000000">
            <w:hyperlink r:id="rId23" w:history="1">
              <w:proofErr w:type="spellStart"/>
              <w:r w:rsidRPr="00334D02">
                <w:rPr>
                  <w:rStyle w:val="Hyperlink"/>
                </w:rPr>
                <w:t>Lashrecse</w:t>
              </w:r>
              <w:proofErr w:type="spellEnd"/>
              <w:r w:rsidRPr="00334D02">
                <w:rPr>
                  <w:rStyle w:val="Hyperlink"/>
                </w:rPr>
                <w:t xml:space="preserve"> D. Aird</w:t>
              </w:r>
            </w:hyperlink>
          </w:p>
        </w:tc>
        <w:tc>
          <w:tcPr>
            <w:tcW w:w="0" w:type="auto"/>
            <w:tcMar>
              <w:top w:w="50" w:type="dxa"/>
              <w:left w:w="50" w:type="dxa"/>
              <w:bottom w:w="50" w:type="dxa"/>
              <w:right w:w="50" w:type="dxa"/>
            </w:tcMar>
          </w:tcPr>
          <w:p w14:paraId="073D946F" w14:textId="77777777" w:rsidR="005642D8" w:rsidRPr="00334D02" w:rsidRDefault="00000000">
            <w:r w:rsidRPr="00334D02">
              <w:t xml:space="preserve">Richmond </w:t>
            </w:r>
            <w:proofErr w:type="spellStart"/>
            <w:r w:rsidRPr="00334D02">
              <w:t>Internatl</w:t>
            </w:r>
            <w:proofErr w:type="spellEnd"/>
            <w:r w:rsidRPr="00334D02">
              <w:t>. Airport; discontinuing use of PFAS chemicals in firefighting materials, report.</w:t>
            </w:r>
          </w:p>
          <w:p w14:paraId="60740857" w14:textId="77777777" w:rsidR="005642D8" w:rsidRPr="00334D02" w:rsidRDefault="00000000">
            <w:pPr>
              <w:spacing w:before="100" w:after="100"/>
            </w:pPr>
            <w:r w:rsidRPr="00334D02">
              <w:rPr>
                <w:color w:val="667093"/>
              </w:rPr>
              <w:t>Capital Region Airport Commission; plan for discontinuing the use of PFAS chemicals in firefighting materials at Richmond International Airport; report. Directs the Capital Region Airport Commission to develop a plan for discontinuing by January 1, 2028, the use of PFAS chemicals in firefighting materials at Richmond International Airport and to complete such plan and provide a report to the Virginia Aviation Board no later than November 15, 2026.</w:t>
            </w:r>
          </w:p>
        </w:tc>
        <w:tc>
          <w:tcPr>
            <w:tcW w:w="0" w:type="auto"/>
            <w:tcMar>
              <w:top w:w="50" w:type="dxa"/>
              <w:left w:w="50" w:type="dxa"/>
              <w:bottom w:w="50" w:type="dxa"/>
              <w:right w:w="50" w:type="dxa"/>
            </w:tcMar>
          </w:tcPr>
          <w:p w14:paraId="5E70DD47" w14:textId="77777777" w:rsidR="005642D8" w:rsidRPr="00334D02" w:rsidRDefault="00000000">
            <w:hyperlink r:id="rId24" w:history="1">
              <w:r w:rsidRPr="00334D02">
                <w:rPr>
                  <w:rStyle w:val="Hyperlink"/>
                </w:rPr>
                <w:t>Introduced</w:t>
              </w:r>
            </w:hyperlink>
          </w:p>
        </w:tc>
      </w:tr>
      <w:tr w:rsidR="005642D8" w:rsidRPr="00334D02" w14:paraId="2DA28B01" w14:textId="77777777">
        <w:tblPrEx>
          <w:tblCellMar>
            <w:top w:w="0" w:type="dxa"/>
            <w:bottom w:w="0" w:type="dxa"/>
          </w:tblCellMar>
        </w:tblPrEx>
        <w:tc>
          <w:tcPr>
            <w:tcW w:w="0" w:type="auto"/>
            <w:tcMar>
              <w:top w:w="50" w:type="dxa"/>
              <w:left w:w="50" w:type="dxa"/>
              <w:bottom w:w="50" w:type="dxa"/>
              <w:right w:w="50" w:type="dxa"/>
            </w:tcMar>
          </w:tcPr>
          <w:p w14:paraId="4C1BE55C" w14:textId="77777777" w:rsidR="005642D8" w:rsidRPr="00334D02" w:rsidRDefault="00000000">
            <w:r w:rsidRPr="00334D02">
              <w:t xml:space="preserve">VA 2026   </w:t>
            </w:r>
          </w:p>
          <w:p w14:paraId="653AD515" w14:textId="77777777" w:rsidR="005642D8" w:rsidRPr="00334D02" w:rsidRDefault="00000000">
            <w:hyperlink r:id="rId25" w:history="1">
              <w:r w:rsidRPr="00334D02">
                <w:rPr>
                  <w:rStyle w:val="Hyperlink"/>
                </w:rPr>
                <w:t>SB 647</w:t>
              </w:r>
            </w:hyperlink>
          </w:p>
        </w:tc>
        <w:tc>
          <w:tcPr>
            <w:tcW w:w="0" w:type="auto"/>
            <w:tcMar>
              <w:top w:w="50" w:type="dxa"/>
              <w:left w:w="50" w:type="dxa"/>
              <w:bottom w:w="50" w:type="dxa"/>
              <w:right w:w="50" w:type="dxa"/>
            </w:tcMar>
          </w:tcPr>
          <w:p w14:paraId="1D0D7E97" w14:textId="77777777" w:rsidR="005642D8" w:rsidRPr="00334D02" w:rsidRDefault="00000000">
            <w:hyperlink r:id="rId26" w:history="1">
              <w:r w:rsidRPr="00334D02">
                <w:rPr>
                  <w:rStyle w:val="Hyperlink"/>
                </w:rPr>
                <w:t>Todd E. Pillion</w:t>
              </w:r>
            </w:hyperlink>
          </w:p>
        </w:tc>
        <w:tc>
          <w:tcPr>
            <w:tcW w:w="0" w:type="auto"/>
            <w:tcMar>
              <w:top w:w="50" w:type="dxa"/>
              <w:left w:w="50" w:type="dxa"/>
              <w:bottom w:w="50" w:type="dxa"/>
              <w:right w:w="50" w:type="dxa"/>
            </w:tcMar>
          </w:tcPr>
          <w:p w14:paraId="29BE3947" w14:textId="77777777" w:rsidR="005642D8" w:rsidRPr="00334D02" w:rsidRDefault="00000000">
            <w:r w:rsidRPr="00334D02">
              <w:t>Use of unmanned aircraft systems by law-enforcement officers; search warrants.</w:t>
            </w:r>
          </w:p>
          <w:p w14:paraId="01A82B25" w14:textId="77777777" w:rsidR="005642D8" w:rsidRPr="00334D02" w:rsidRDefault="00000000">
            <w:pPr>
              <w:spacing w:before="100" w:after="100"/>
            </w:pPr>
            <w:r w:rsidRPr="00334D02">
              <w:rPr>
                <w:color w:val="667093"/>
              </w:rPr>
              <w:t xml:space="preserve">Use of unmanned aircraft systems by law-enforcement officers; search warrants. Expedites the issuance of a search warrant for unmanned aircraft systems by law-enforcement officers upon a finding of reasonable and probable cause by an authorized judicial official as defined in the bill. The bill permits the use of unmanned aircraft systems without a search warrant when law enforcement is surveying the scene of a crime or to respond to a public safety call for service, to locate a person when such person has fled the offense location during the initial response to an incident, or to provide real-time aerial observation to increase on-scene safety and security, deliver essential supplies, and provide enhanced communication for emergency personnel in response to emergency calls. The bill also authorizes the use of unmanned aircraft systems by law enforcement during large gatherings, demonstrations, </w:t>
            </w:r>
            <w:proofErr w:type="gramStart"/>
            <w:r w:rsidRPr="00334D02">
              <w:rPr>
                <w:color w:val="667093"/>
              </w:rPr>
              <w:t>disturbances, or</w:t>
            </w:r>
            <w:proofErr w:type="gramEnd"/>
            <w:r w:rsidRPr="00334D02">
              <w:rPr>
                <w:color w:val="667093"/>
              </w:rPr>
              <w:t xml:space="preserve"> other such events in the public domain to aid in maintaining the safety and security of event attendees and members of the public.</w:t>
            </w:r>
          </w:p>
        </w:tc>
        <w:tc>
          <w:tcPr>
            <w:tcW w:w="0" w:type="auto"/>
            <w:tcMar>
              <w:top w:w="50" w:type="dxa"/>
              <w:left w:w="50" w:type="dxa"/>
              <w:bottom w:w="50" w:type="dxa"/>
              <w:right w:w="50" w:type="dxa"/>
            </w:tcMar>
          </w:tcPr>
          <w:p w14:paraId="2B8BCF75" w14:textId="77777777" w:rsidR="005642D8" w:rsidRPr="00334D02" w:rsidRDefault="00000000">
            <w:hyperlink r:id="rId27" w:history="1">
              <w:r w:rsidRPr="00334D02">
                <w:rPr>
                  <w:rStyle w:val="Hyperlink"/>
                </w:rPr>
                <w:t>Introduced</w:t>
              </w:r>
            </w:hyperlink>
          </w:p>
        </w:tc>
      </w:tr>
    </w:tbl>
    <w:p w14:paraId="4FBB7FFD" w14:textId="77777777" w:rsidR="005642D8" w:rsidRDefault="00000000">
      <w:r>
        <w:rPr>
          <w:b/>
          <w:bCs/>
          <w:sz w:val="14"/>
          <w:szCs w:val="14"/>
        </w:rPr>
        <w:t>7 bills</w:t>
      </w:r>
    </w:p>
    <w:sectPr w:rsidR="005642D8">
      <w:footerReference w:type="default" r:id="rId28"/>
      <w:pgSz w:w="16838" w:h="11906" w:orient="landscape"/>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E401" w14:textId="77777777" w:rsidR="00C35BEF" w:rsidRDefault="00C35BEF">
      <w:r>
        <w:separator/>
      </w:r>
    </w:p>
  </w:endnote>
  <w:endnote w:type="continuationSeparator" w:id="0">
    <w:p w14:paraId="7C26D66A" w14:textId="77777777" w:rsidR="00C35BEF" w:rsidRDefault="00C3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6CA0" w14:textId="77777777" w:rsidR="005642D8" w:rsidRDefault="00000000">
    <w:pPr>
      <w:jc w:val="center"/>
    </w:pPr>
    <w:r>
      <w:rPr>
        <w:sz w:val="14"/>
        <w:szCs w:val="14"/>
      </w:rPr>
      <w:t xml:space="preserve">Page </w:t>
    </w:r>
    <w:r>
      <w:rPr>
        <w:sz w:val="14"/>
        <w:szCs w:val="14"/>
      </w:rPr>
      <w:fldChar w:fldCharType="begin"/>
    </w:r>
    <w:r>
      <w:rPr>
        <w:sz w:val="14"/>
        <w:szCs w:val="14"/>
      </w:rPr>
      <w:instrText>PAGE</w:instrText>
    </w:r>
    <w:r>
      <w:rPr>
        <w:sz w:val="14"/>
        <w:szCs w:val="14"/>
      </w:rPr>
      <w:fldChar w:fldCharType="separate"/>
    </w:r>
    <w:r w:rsidR="00334D02">
      <w:rPr>
        <w:noProof/>
        <w:sz w:val="14"/>
        <w:szCs w:val="14"/>
      </w:rPr>
      <w:t>1</w:t>
    </w:r>
    <w:r>
      <w:rPr>
        <w:sz w:val="14"/>
        <w:szCs w:val="14"/>
      </w:rPr>
      <w:fldChar w:fldCharType="end"/>
    </w:r>
    <w:r>
      <w:rPr>
        <w:sz w:val="14"/>
        <w:szCs w:val="14"/>
      </w:rPr>
      <w:t xml:space="preserve"> of </w:t>
    </w:r>
    <w:r>
      <w:rPr>
        <w:sz w:val="14"/>
        <w:szCs w:val="14"/>
      </w:rPr>
      <w:fldChar w:fldCharType="begin"/>
    </w:r>
    <w:r>
      <w:rPr>
        <w:sz w:val="14"/>
        <w:szCs w:val="14"/>
      </w:rPr>
      <w:instrText>NUMPAGES</w:instrText>
    </w:r>
    <w:r>
      <w:rPr>
        <w:sz w:val="14"/>
        <w:szCs w:val="14"/>
      </w:rPr>
      <w:fldChar w:fldCharType="separate"/>
    </w:r>
    <w:r w:rsidR="00334D02">
      <w:rPr>
        <w:noProof/>
        <w:sz w:val="14"/>
        <w:szCs w:val="14"/>
      </w:rPr>
      <w:t>1</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5C78" w14:textId="77777777" w:rsidR="00C35BEF" w:rsidRDefault="00C35BEF">
      <w:r>
        <w:separator/>
      </w:r>
    </w:p>
  </w:footnote>
  <w:footnote w:type="continuationSeparator" w:id="0">
    <w:p w14:paraId="58E7DE21" w14:textId="77777777" w:rsidR="00C35BEF" w:rsidRDefault="00C3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36604"/>
    <w:multiLevelType w:val="hybridMultilevel"/>
    <w:tmpl w:val="512469C6"/>
    <w:lvl w:ilvl="0" w:tplc="508EB03C">
      <w:start w:val="1"/>
      <w:numFmt w:val="bullet"/>
      <w:lvlText w:val="●"/>
      <w:lvlJc w:val="left"/>
      <w:pPr>
        <w:ind w:left="720" w:hanging="360"/>
      </w:pPr>
    </w:lvl>
    <w:lvl w:ilvl="1" w:tplc="834EEFC2">
      <w:start w:val="1"/>
      <w:numFmt w:val="bullet"/>
      <w:lvlText w:val="○"/>
      <w:lvlJc w:val="left"/>
      <w:pPr>
        <w:ind w:left="1440" w:hanging="360"/>
      </w:pPr>
    </w:lvl>
    <w:lvl w:ilvl="2" w:tplc="9CF03FF6">
      <w:start w:val="1"/>
      <w:numFmt w:val="bullet"/>
      <w:lvlText w:val="■"/>
      <w:lvlJc w:val="left"/>
      <w:pPr>
        <w:ind w:left="2160" w:hanging="360"/>
      </w:pPr>
    </w:lvl>
    <w:lvl w:ilvl="3" w:tplc="1E98044A">
      <w:start w:val="1"/>
      <w:numFmt w:val="bullet"/>
      <w:lvlText w:val="●"/>
      <w:lvlJc w:val="left"/>
      <w:pPr>
        <w:ind w:left="2880" w:hanging="360"/>
      </w:pPr>
    </w:lvl>
    <w:lvl w:ilvl="4" w:tplc="E9F62AD6">
      <w:start w:val="1"/>
      <w:numFmt w:val="bullet"/>
      <w:lvlText w:val="○"/>
      <w:lvlJc w:val="left"/>
      <w:pPr>
        <w:ind w:left="3600" w:hanging="360"/>
      </w:pPr>
    </w:lvl>
    <w:lvl w:ilvl="5" w:tplc="A25C50DE">
      <w:start w:val="1"/>
      <w:numFmt w:val="bullet"/>
      <w:lvlText w:val="■"/>
      <w:lvlJc w:val="left"/>
      <w:pPr>
        <w:ind w:left="4320" w:hanging="360"/>
      </w:pPr>
    </w:lvl>
    <w:lvl w:ilvl="6" w:tplc="EB02431A">
      <w:start w:val="1"/>
      <w:numFmt w:val="bullet"/>
      <w:lvlText w:val="●"/>
      <w:lvlJc w:val="left"/>
      <w:pPr>
        <w:ind w:left="5040" w:hanging="360"/>
      </w:pPr>
    </w:lvl>
    <w:lvl w:ilvl="7" w:tplc="A732A70C">
      <w:start w:val="1"/>
      <w:numFmt w:val="bullet"/>
      <w:lvlText w:val="●"/>
      <w:lvlJc w:val="left"/>
      <w:pPr>
        <w:ind w:left="5760" w:hanging="360"/>
      </w:pPr>
    </w:lvl>
    <w:lvl w:ilvl="8" w:tplc="21BC6CFE">
      <w:start w:val="1"/>
      <w:numFmt w:val="bullet"/>
      <w:lvlText w:val="●"/>
      <w:lvlJc w:val="left"/>
      <w:pPr>
        <w:ind w:left="6480" w:hanging="360"/>
      </w:pPr>
    </w:lvl>
  </w:abstractNum>
  <w:num w:numId="1" w16cid:durableId="1496873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2D8"/>
    <w:rsid w:val="00213D8A"/>
    <w:rsid w:val="00334D02"/>
    <w:rsid w:val="005642D8"/>
    <w:rsid w:val="006F61B8"/>
    <w:rsid w:val="00C3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1DCD"/>
  <w15:docId w15:val="{45E541B4-7177-40E0-836A-46C19D15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fastdemocracy.com/bill/va/2026/bills/VAB00040622/?report-bill-view=1" TargetMode="External"/><Relationship Id="rId18" Type="http://schemas.openxmlformats.org/officeDocument/2006/relationships/hyperlink" Target="https://lis.blob.core.windows.net/files/1087836.PDF" TargetMode="External"/><Relationship Id="rId26" Type="http://schemas.openxmlformats.org/officeDocument/2006/relationships/hyperlink" Target="https://fastdemocracy.com/legislator/va/legislators/VAL000167" TargetMode="External"/><Relationship Id="rId3" Type="http://schemas.openxmlformats.org/officeDocument/2006/relationships/settings" Target="settings.xml"/><Relationship Id="rId21" Type="http://schemas.openxmlformats.org/officeDocument/2006/relationships/hyperlink" Target="https://lis.blob.core.windows.net/files/1087839.PDF" TargetMode="External"/><Relationship Id="rId7" Type="http://schemas.openxmlformats.org/officeDocument/2006/relationships/hyperlink" Target="https://fastdemocracy.com/bill/va/2026/bills/VAB00040084/?report-bill-view=1" TargetMode="External"/><Relationship Id="rId12" Type="http://schemas.openxmlformats.org/officeDocument/2006/relationships/hyperlink" Target="https://lis.blob.core.windows.net/files/1086643.PDF" TargetMode="External"/><Relationship Id="rId17" Type="http://schemas.openxmlformats.org/officeDocument/2006/relationships/hyperlink" Target="https://fastdemocracy.com/legislator/va/legislators/VAL000279" TargetMode="External"/><Relationship Id="rId25" Type="http://schemas.openxmlformats.org/officeDocument/2006/relationships/hyperlink" Target="https://fastdemocracy.com/bill/va/2026/bills/VAB00041219/?report-bill-view=1"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fastdemocracy.com/bill/va/2026/bills/VAB00040644/?report-bill-view=1" TargetMode="External"/><Relationship Id="rId20" Type="http://schemas.openxmlformats.org/officeDocument/2006/relationships/hyperlink" Target="https://fastdemocracy.com/legislator/va/legislators/VAL00019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stdemocracy.com/legislator/va/legislators/VAL000112" TargetMode="External"/><Relationship Id="rId24" Type="http://schemas.openxmlformats.org/officeDocument/2006/relationships/hyperlink" Target="https://lis.blob.core.windows.net/files/1088561.PDF"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lis.blob.core.windows.net/files/1088433.PDF" TargetMode="External"/><Relationship Id="rId23" Type="http://schemas.openxmlformats.org/officeDocument/2006/relationships/hyperlink" Target="https://fastdemocracy.com/legislator/va/legislators/VAL000184" TargetMode="External"/><Relationship Id="rId28" Type="http://schemas.openxmlformats.org/officeDocument/2006/relationships/footer" Target="footer1.xml"/><Relationship Id="rId10" Type="http://schemas.openxmlformats.org/officeDocument/2006/relationships/hyperlink" Target="https://fastdemocracy.com/bill/va/2026/bills/VAB00040310/?report-bill-view=1" TargetMode="External"/><Relationship Id="rId19" Type="http://schemas.openxmlformats.org/officeDocument/2006/relationships/hyperlink" Target="https://fastdemocracy.com/bill/va/2026/bills/VAB00040652/?report-bill-view=1"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lis.blob.core.windows.net/files/1085713.PDF" TargetMode="External"/><Relationship Id="rId14" Type="http://schemas.openxmlformats.org/officeDocument/2006/relationships/hyperlink" Target="https://fastdemocracy.com/legislator/va/legislators/VAL000279" TargetMode="External"/><Relationship Id="rId22" Type="http://schemas.openxmlformats.org/officeDocument/2006/relationships/hyperlink" Target="https://fastdemocracy.com/bill/va/2026/bills/VAB00040721/?report-bill-view=1" TargetMode="External"/><Relationship Id="rId27" Type="http://schemas.openxmlformats.org/officeDocument/2006/relationships/hyperlink" Target="https://lis.blob.core.windows.net/files/1091619.PDF" TargetMode="External"/><Relationship Id="rId30" Type="http://schemas.openxmlformats.org/officeDocument/2006/relationships/theme" Target="theme/theme1.xml"/><Relationship Id="rId8" Type="http://schemas.openxmlformats.org/officeDocument/2006/relationships/hyperlink" Target="https://fastdemocracy.com/legislator/va/legislators/VAL0002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DD5BA252D64DAFA7784FD5B71E7D" ma:contentTypeVersion="13" ma:contentTypeDescription="Create a new document." ma:contentTypeScope="" ma:versionID="a65eb4657f0644567fe58ad3ce072457">
  <xsd:schema xmlns:xsd="http://www.w3.org/2001/XMLSchema" xmlns:xs="http://www.w3.org/2001/XMLSchema" xmlns:p="http://schemas.microsoft.com/office/2006/metadata/properties" xmlns:ns2="38d847c3-a70e-4457-83fe-1eabc5b0d2cf" xmlns:ns3="7a407c44-aff3-494f-ad95-132dbab76e5d" targetNamespace="http://schemas.microsoft.com/office/2006/metadata/properties" ma:root="true" ma:fieldsID="aa4fad762682f9573890290d42a9f67d" ns2:_="" ns3:_="">
    <xsd:import namespace="38d847c3-a70e-4457-83fe-1eabc5b0d2cf"/>
    <xsd:import namespace="7a407c44-aff3-494f-ad95-132dbab76e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847c3-a70e-4457-83fe-1eabc5b0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f5845b7-68fd-47ae-b8fa-c7688970ec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407c44-aff3-494f-ad95-132dbab76e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c817a1-60a8-4c29-8890-eaf82f31cd3c}" ma:internalName="TaxCatchAll" ma:showField="CatchAllData" ma:web="7a407c44-aff3-494f-ad95-132dbab76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d847c3-a70e-4457-83fe-1eabc5b0d2cf">
      <Terms xmlns="http://schemas.microsoft.com/office/infopath/2007/PartnerControls"/>
    </lcf76f155ced4ddcb4097134ff3c332f>
    <TaxCatchAll xmlns="7a407c44-aff3-494f-ad95-132dbab76e5d" xsi:nil="true"/>
  </documentManagement>
</p:properties>
</file>

<file path=customXml/itemProps1.xml><?xml version="1.0" encoding="utf-8"?>
<ds:datastoreItem xmlns:ds="http://schemas.openxmlformats.org/officeDocument/2006/customXml" ds:itemID="{5DDAC4F3-ED26-461D-958A-BC0AF1574AA5}"/>
</file>

<file path=customXml/itemProps2.xml><?xml version="1.0" encoding="utf-8"?>
<ds:datastoreItem xmlns:ds="http://schemas.openxmlformats.org/officeDocument/2006/customXml" ds:itemID="{32B705E1-461D-4C40-B27B-CF21C1D907F0}"/>
</file>

<file path=customXml/itemProps3.xml><?xml version="1.0" encoding="utf-8"?>
<ds:datastoreItem xmlns:ds="http://schemas.openxmlformats.org/officeDocument/2006/customXml" ds:itemID="{068D8A3D-47DA-4424-B775-B92633578949}"/>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4947</Characters>
  <Application>Microsoft Office Word</Application>
  <DocSecurity>0</DocSecurity>
  <Lines>104</Lines>
  <Paragraphs>48</Paragraphs>
  <ScaleCrop>false</ScaleCrop>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Craig Whitham</cp:lastModifiedBy>
  <cp:revision>3</cp:revision>
  <dcterms:created xsi:type="dcterms:W3CDTF">2026-01-21T20:39:00Z</dcterms:created>
  <dcterms:modified xsi:type="dcterms:W3CDTF">2026-01-21T20:40:00Z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0x0101002779DD5BA252D64DAFA7784FD5B71E7D</vt:lpwstr>
  </property>
</Properties>
</file>